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Глобальные компетенции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Глобальная компетентность - компонент функциональной грамотности, одна из ключевых компетенций, составляющих основу ориентации и успешного существования в современном социуме. Она имеет собственное предметное содержание, ценностную основу и нацелена на формирование мягких навыков (</w:t>
      </w: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soft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 </w:t>
      </w: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skills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).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Глобальные компетенции</w:t>
      </w: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 - это способность ребёнка работать в одиночку или в группе для решения глобальной проблемы. Для этого важно уметь управлять своим поведением, эмоционально воспринимать новую информацию и быть открытым к ней.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Глобальные компетенции подразумевают развитие аналитического и критического мышления, </w:t>
      </w: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эмпатии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 и способности сотрудничать. Осознание глобальных проблем и межкультурных различий – ключ к построению уважительных отношений с представителями любой культуры и принятию человеческого достоинства как отдельного явления. Дети учатся осознавать, каким образом культурные, религиозные, расовые и другие различия влияют на взгляды окружающих. Способность понимать и принимать убеждения других людей - один из самых важных мягких навыков в современном мире.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Структура глобальной компетенции: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Знание, понимание</w:t>
      </w:r>
    </w:p>
    <w:p w:rsidR="000B26AB" w:rsidRPr="000B26AB" w:rsidRDefault="000B26AB" w:rsidP="000B26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Осознание и понимание глобальных проблем</w:t>
      </w:r>
    </w:p>
    <w:p w:rsidR="000B26AB" w:rsidRPr="000B26AB" w:rsidRDefault="000B26AB" w:rsidP="000B26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Осознание и понимание культурного разнообразия, межкультурных различий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Умения</w:t>
      </w:r>
    </w:p>
    <w:p w:rsidR="000B26AB" w:rsidRPr="000B26AB" w:rsidRDefault="000B26AB" w:rsidP="000B26AB">
      <w:pPr>
        <w:numPr>
          <w:ilvl w:val="0"/>
          <w:numId w:val="13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Аналитическое и критическое мышление</w:t>
      </w:r>
    </w:p>
    <w:p w:rsidR="000B26AB" w:rsidRPr="000B26AB" w:rsidRDefault="000B26AB" w:rsidP="000B26AB">
      <w:pPr>
        <w:numPr>
          <w:ilvl w:val="0"/>
          <w:numId w:val="13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Способность уважительно и эффективно взаимодействовать</w:t>
      </w:r>
    </w:p>
    <w:p w:rsidR="000B26AB" w:rsidRPr="000B26AB" w:rsidRDefault="000B26AB" w:rsidP="000B26AB">
      <w:pPr>
        <w:numPr>
          <w:ilvl w:val="0"/>
          <w:numId w:val="13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Гибкость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Отношение</w:t>
      </w:r>
    </w:p>
    <w:p w:rsidR="000B26AB" w:rsidRPr="000B26AB" w:rsidRDefault="000B26AB" w:rsidP="000B26AB">
      <w:pPr>
        <w:numPr>
          <w:ilvl w:val="0"/>
          <w:numId w:val="14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Уважение к другим культурам</w:t>
      </w:r>
    </w:p>
    <w:p w:rsidR="000B26AB" w:rsidRPr="000B26AB" w:rsidRDefault="000B26AB" w:rsidP="000B26AB">
      <w:pPr>
        <w:numPr>
          <w:ilvl w:val="0"/>
          <w:numId w:val="14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Открытость к взаимодействию с другими культурами</w:t>
      </w:r>
    </w:p>
    <w:p w:rsidR="000B26AB" w:rsidRPr="000B26AB" w:rsidRDefault="000B26AB" w:rsidP="000B26AB">
      <w:pPr>
        <w:numPr>
          <w:ilvl w:val="0"/>
          <w:numId w:val="14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Широта взглядов, кругозор</w:t>
      </w:r>
    </w:p>
    <w:p w:rsidR="000B26AB" w:rsidRPr="000B26AB" w:rsidRDefault="000B26AB" w:rsidP="000B26AB">
      <w:pPr>
        <w:numPr>
          <w:ilvl w:val="0"/>
          <w:numId w:val="14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Ответственность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Особенности:</w:t>
      </w:r>
    </w:p>
    <w:p w:rsidR="000B26AB" w:rsidRPr="000B26AB" w:rsidRDefault="000B26AB" w:rsidP="000B26AB">
      <w:pPr>
        <w:numPr>
          <w:ilvl w:val="0"/>
          <w:numId w:val="15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ме</w:t>
      </w:r>
      <w:proofErr w:type="gram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ж-</w:t>
      </w:r>
      <w:proofErr w:type="gram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 и </w:t>
      </w: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метапредметное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 содержание (география, обществознание, история, биология, иностранный язык и т.д.)</w:t>
      </w:r>
    </w:p>
    <w:p w:rsidR="000B26AB" w:rsidRPr="000B26AB" w:rsidRDefault="000B26AB" w:rsidP="000B26AB">
      <w:pPr>
        <w:numPr>
          <w:ilvl w:val="0"/>
          <w:numId w:val="15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интегративность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 не только через содержание ряда школьных предметов, но и через ценности, присвоенные личностью</w:t>
      </w:r>
    </w:p>
    <w:p w:rsidR="000B26AB" w:rsidRPr="000B26AB" w:rsidRDefault="000B26AB" w:rsidP="000B26AB">
      <w:pPr>
        <w:numPr>
          <w:ilvl w:val="0"/>
          <w:numId w:val="15"/>
        </w:numPr>
        <w:spacing w:before="138" w:after="138" w:line="240" w:lineRule="auto"/>
        <w:ind w:left="106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непосредственная ориентация на «</w:t>
      </w: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soft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 xml:space="preserve"> </w:t>
      </w: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skills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»</w:t>
      </w:r>
    </w:p>
    <w:p w:rsidR="000B26AB" w:rsidRPr="000B26AB" w:rsidRDefault="000B26AB" w:rsidP="000B2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6AB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Электронные образовательные ресурсы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noProof/>
          <w:color w:val="000000"/>
          <w:sz w:val="20"/>
          <w:szCs w:val="19"/>
          <w:lang w:eastAsia="ru-RU"/>
        </w:rPr>
        <w:drawing>
          <wp:inline distT="0" distB="0" distL="0" distR="0">
            <wp:extent cx="3886200" cy="1002030"/>
            <wp:effectExtent l="19050" t="0" r="0" b="0"/>
            <wp:docPr id="45" name="Рисунок 45" descr="https://school66.edu.yar.ru/is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hool66.edu.yar.ru/isr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szCs w:val="19"/>
          <w:bdr w:val="none" w:sz="0" w:space="0" w:color="auto" w:frame="1"/>
          <w:lang w:eastAsia="ru-RU"/>
        </w:rPr>
        <w:t xml:space="preserve">ФГБНУ «Институт </w:t>
      </w:r>
      <w:proofErr w:type="gramStart"/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szCs w:val="19"/>
          <w:bdr w:val="none" w:sz="0" w:space="0" w:color="auto" w:frame="1"/>
          <w:lang w:eastAsia="ru-RU"/>
        </w:rPr>
        <w:t>стратегии развития образования Российской академии образования</w:t>
      </w:r>
      <w:proofErr w:type="gramEnd"/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szCs w:val="19"/>
          <w:bdr w:val="none" w:sz="0" w:space="0" w:color="auto" w:frame="1"/>
          <w:lang w:eastAsia="ru-RU"/>
        </w:rPr>
        <w:t>»</w:t>
      </w:r>
    </w:p>
    <w:p w:rsidR="000B26AB" w:rsidRPr="000B26AB" w:rsidRDefault="000B26AB" w:rsidP="000B26AB">
      <w:pPr>
        <w:numPr>
          <w:ilvl w:val="0"/>
          <w:numId w:val="16"/>
        </w:numPr>
        <w:spacing w:before="100" w:beforeAutospacing="1" w:after="100" w:afterAutospacing="1" w:line="240" w:lineRule="auto"/>
        <w:ind w:right="83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lastRenderedPageBreak/>
        <w:t>открытый банк заданий для формирования функциональной грамотности обучающихся 5-9 классов - </w:t>
      </w:r>
      <w:hyperlink r:id="rId6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http://skiv.instrao.ru/bank-zadaniy/globalnye-kompetentsii/</w:t>
        </w:r>
      </w:hyperlink>
    </w:p>
    <w:p w:rsidR="000B26AB" w:rsidRPr="000B26AB" w:rsidRDefault="000B26AB" w:rsidP="000B26AB">
      <w:pPr>
        <w:numPr>
          <w:ilvl w:val="0"/>
          <w:numId w:val="16"/>
        </w:numPr>
        <w:spacing w:before="100" w:beforeAutospacing="1" w:after="100" w:afterAutospacing="1" w:line="240" w:lineRule="auto"/>
        <w:ind w:right="83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демонстрационные материалы - </w:t>
      </w:r>
      <w:hyperlink r:id="rId7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http://skiv.instrao.ru/support/demonstratsionnye-materialya/globalnye-kompetentsii.php</w:t>
        </w:r>
      </w:hyperlink>
    </w:p>
    <w:p w:rsidR="000B26AB" w:rsidRPr="000B26AB" w:rsidRDefault="000B26AB" w:rsidP="000B26AB">
      <w:pPr>
        <w:spacing w:before="138" w:after="152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noProof/>
          <w:color w:val="000000"/>
          <w:sz w:val="20"/>
          <w:szCs w:val="19"/>
          <w:lang w:eastAsia="ru-RU"/>
        </w:rPr>
        <w:drawing>
          <wp:inline distT="0" distB="0" distL="0" distR="0">
            <wp:extent cx="2135065" cy="2135065"/>
            <wp:effectExtent l="19050" t="0" r="0" b="0"/>
            <wp:docPr id="46" name="Рисунок 46" descr="https://school66.edu.yar.ru/fi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hool66.edu.yar.ru/fi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30" cy="21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ФГБУ «Федеральный институт оценки качества образования» (ФИОКО) 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Открытые задания PISA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proofErr w:type="spellStart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Онлайн-задания</w:t>
      </w:r>
      <w:proofErr w:type="spellEnd"/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 xml:space="preserve"> по глобальной компетентности: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– </w:t>
      </w:r>
      <w:hyperlink r:id="rId9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ПОВЫШЕНИЕ УРОВНЯ МОРЯ</w:t>
        </w:r>
      </w:hyperlink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– </w:t>
      </w:r>
      <w:hyperlink r:id="rId10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ЕДИНСТВЕННЫЙ СЮЖЕТ</w:t>
        </w:r>
      </w:hyperlink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– </w:t>
      </w:r>
      <w:hyperlink r:id="rId11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ЭТИЧНАЯ ОДЕЖДА</w:t>
        </w:r>
      </w:hyperlink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– </w:t>
      </w:r>
      <w:hyperlink r:id="rId12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ОЛИМПИЙСКАЯ КОМАНДА БЕЖЕНЦЕВ</w:t>
        </w:r>
      </w:hyperlink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– </w:t>
      </w:r>
      <w:hyperlink r:id="rId13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ЯЗЫКОВАЯ ПОЛИТИКА</w:t>
        </w:r>
      </w:hyperlink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Задания представлены на официальном сайте </w:t>
      </w:r>
      <w:hyperlink r:id="rId14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ОЭСР</w:t>
        </w:r>
      </w:hyperlink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  <w:t>.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noProof/>
          <w:color w:val="000000"/>
          <w:sz w:val="20"/>
          <w:szCs w:val="19"/>
          <w:lang w:eastAsia="ru-RU"/>
        </w:rPr>
        <w:drawing>
          <wp:inline distT="0" distB="0" distL="0" distR="0">
            <wp:extent cx="1819910" cy="861695"/>
            <wp:effectExtent l="19050" t="0" r="8890" b="0"/>
            <wp:docPr id="47" name="Рисунок 47" descr="https://school66.edu.yar.ru/resh_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hool66.edu.yar.ru/resh_bz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Российская электронная школа</w:t>
      </w:r>
    </w:p>
    <w:p w:rsidR="000B26AB" w:rsidRPr="000B26AB" w:rsidRDefault="000B26AB" w:rsidP="000B26AB">
      <w:pPr>
        <w:spacing w:before="138" w:after="138" w:line="240" w:lineRule="auto"/>
        <w:ind w:left="346" w:right="346"/>
        <w:rPr>
          <w:rFonts w:ascii="Times New Roman" w:eastAsia="Times New Roman" w:hAnsi="Times New Roman" w:cs="Times New Roman"/>
          <w:color w:val="000000"/>
          <w:sz w:val="20"/>
          <w:szCs w:val="19"/>
          <w:lang w:eastAsia="ru-RU"/>
        </w:rPr>
      </w:pPr>
      <w:r w:rsidRPr="000B26AB">
        <w:rPr>
          <w:rFonts w:ascii="Times New Roman" w:eastAsia="Times New Roman" w:hAnsi="Times New Roman" w:cs="Times New Roman"/>
          <w:color w:val="000000"/>
          <w:sz w:val="20"/>
          <w:szCs w:val="19"/>
          <w:bdr w:val="none" w:sz="0" w:space="0" w:color="auto" w:frame="1"/>
          <w:lang w:eastAsia="ru-RU"/>
        </w:rPr>
        <w:t>Электронный банк заданий по формированию функциональной грамотности  </w:t>
      </w:r>
      <w:hyperlink r:id="rId16" w:tgtFrame="_blank" w:history="1">
        <w:r w:rsidRPr="000B26A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https://fg.resh.edu.ru/functionalliteracy/events</w:t>
        </w:r>
      </w:hyperlink>
    </w:p>
    <w:p w:rsidR="009F4D9C" w:rsidRPr="000B26AB" w:rsidRDefault="009F4D9C" w:rsidP="000B26AB"/>
    <w:sectPr w:rsidR="009F4D9C" w:rsidRPr="000B26AB" w:rsidSect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64C"/>
    <w:multiLevelType w:val="multilevel"/>
    <w:tmpl w:val="23E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37BD"/>
    <w:multiLevelType w:val="multilevel"/>
    <w:tmpl w:val="156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D5608"/>
    <w:multiLevelType w:val="multilevel"/>
    <w:tmpl w:val="4C6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808E3"/>
    <w:multiLevelType w:val="multilevel"/>
    <w:tmpl w:val="5914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528D"/>
    <w:multiLevelType w:val="multilevel"/>
    <w:tmpl w:val="5AB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D3D6D"/>
    <w:multiLevelType w:val="multilevel"/>
    <w:tmpl w:val="721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82360"/>
    <w:multiLevelType w:val="multilevel"/>
    <w:tmpl w:val="C3A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C517A"/>
    <w:multiLevelType w:val="multilevel"/>
    <w:tmpl w:val="DC9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641B1"/>
    <w:multiLevelType w:val="multilevel"/>
    <w:tmpl w:val="CE8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B0104"/>
    <w:multiLevelType w:val="multilevel"/>
    <w:tmpl w:val="5AA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2402"/>
    <w:multiLevelType w:val="multilevel"/>
    <w:tmpl w:val="321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539D0"/>
    <w:multiLevelType w:val="multilevel"/>
    <w:tmpl w:val="468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1091E"/>
    <w:multiLevelType w:val="multilevel"/>
    <w:tmpl w:val="C76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77709"/>
    <w:multiLevelType w:val="multilevel"/>
    <w:tmpl w:val="E94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63B69"/>
    <w:multiLevelType w:val="multilevel"/>
    <w:tmpl w:val="FA1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E2441"/>
    <w:multiLevelType w:val="multilevel"/>
    <w:tmpl w:val="201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F66C7"/>
    <w:rsid w:val="000847BF"/>
    <w:rsid w:val="000B26AB"/>
    <w:rsid w:val="00125227"/>
    <w:rsid w:val="00131258"/>
    <w:rsid w:val="001B63B3"/>
    <w:rsid w:val="00203366"/>
    <w:rsid w:val="00236D73"/>
    <w:rsid w:val="0042074C"/>
    <w:rsid w:val="00555478"/>
    <w:rsid w:val="005F66C7"/>
    <w:rsid w:val="005F7F29"/>
    <w:rsid w:val="007B07DB"/>
    <w:rsid w:val="009472EB"/>
    <w:rsid w:val="009F4D9C"/>
    <w:rsid w:val="00B90122"/>
    <w:rsid w:val="00BE3F5F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6C7"/>
    <w:rPr>
      <w:b/>
      <w:bCs/>
    </w:rPr>
  </w:style>
  <w:style w:type="character" w:styleId="a5">
    <w:name w:val="Hyperlink"/>
    <w:basedOn w:val="a0"/>
    <w:uiPriority w:val="99"/>
    <w:semiHidden/>
    <w:unhideWhenUsed/>
    <w:rsid w:val="005F66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sa2018-questions.oecd.org/platform/index.html?user=&amp;domain=GLC&amp;unit=G139-LanguagePolicy&amp;lang=rus-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iv.instrao.ru/support/demonstratsionnye-materialya/globalnye-kompetentsii.php" TargetMode="External"/><Relationship Id="rId12" Type="http://schemas.openxmlformats.org/officeDocument/2006/relationships/hyperlink" Target="https://pisa2018-questions.oecd.org/platform/index.html?user=&amp;domain=GLC&amp;unit=G134-RefugeeOlympians&amp;lang=rus-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g.resh.edu.ru/functionalliteracy/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globalnye-kompetentsii/" TargetMode="External"/><Relationship Id="rId11" Type="http://schemas.openxmlformats.org/officeDocument/2006/relationships/hyperlink" Target="https://pisa2018-questions.oecd.org/platform/index.html?user=&amp;domain=GLC&amp;unit=G128-EthicalClothing&amp;lang=rus-RU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pisa2018-questions.oecd.org/platform/index.html?user=&amp;domain=GLC&amp;unit=G123-ASingleStory&amp;lang=rus-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a2018-questions.oecd.org/platform/index.html?user=&amp;domain=GLC&amp;unit=G122-RisingSeaLevels&amp;lang=rus-RUS" TargetMode="External"/><Relationship Id="rId14" Type="http://schemas.openxmlformats.org/officeDocument/2006/relationships/hyperlink" Target="http://www.oecd.org/pis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2023-02-20T23:37:00Z</dcterms:created>
  <dcterms:modified xsi:type="dcterms:W3CDTF">2023-02-20T23:37:00Z</dcterms:modified>
</cp:coreProperties>
</file>