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75BE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Финансовая грамотность</w:t>
      </w:r>
      <w:r w:rsidRPr="002522BF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 — совокупность знаний, навыков и установок в сфере финансового поведения человека, ведущих к улучшению благосостояния и качества жизни.</w:t>
      </w:r>
    </w:p>
    <w:p w14:paraId="239EF7C1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Одной из важнейших потребностей современной школы является воспитание личности с развитым экономическим мышлением. Если раньше экономические проблемы искусственно отодвигались от школьника, то сегодня жизнь требует, чтобы ученик знал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семьи. Актуальность данной тематики обусловлена принятием Стратегии повышения финансовой грамотности в Российской Федерации на 2017 – 2023 годы, а также особенностями развития финансового рынка на современном этапе: с одной стороны, широкое внедрение информационных технологий привело к расширению охвата населения финансовыми продуктами и услугами, с другой стороны — легкость доступа к финансовому рынку для неподготовленного потребителя приводит к дезориентации по данным вопросам.</w:t>
      </w:r>
    </w:p>
    <w:p w14:paraId="24937903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Формирование готовности молодежи к адаптации в изменяющихся условиях социально-экономической жизни, получение для этого соответствующих знаний – одна из насущных общественных потребностей, для удовлетворения которой школы вводят новые предметы, открывают профильные классы, разрабатывают программы дополнительного образования.</w:t>
      </w:r>
    </w:p>
    <w:p w14:paraId="48963005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Электронные образовательные ресурсы</w:t>
      </w:r>
    </w:p>
    <w:tbl>
      <w:tblPr>
        <w:tblW w:w="0" w:type="auto"/>
        <w:tblCellSpacing w:w="7" w:type="dxa"/>
        <w:shd w:val="clear" w:color="auto" w:fill="D4D9B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6032"/>
      </w:tblGrid>
      <w:tr w:rsidR="002522BF" w:rsidRPr="002522BF" w14:paraId="2C1DD2D0" w14:textId="77777777" w:rsidTr="002522BF">
        <w:trPr>
          <w:tblCellSpacing w:w="7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44BD180B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08DF06B4" wp14:editId="6F10E8F3">
                  <wp:extent cx="2088595" cy="1255563"/>
                  <wp:effectExtent l="19050" t="0" r="6905" b="0"/>
                  <wp:docPr id="110" name="Рисунок 110" descr="https://school67.edu.yar.ru/funktsionalnaya_gramotnost/fingr/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school67.edu.yar.ru/funktsionalnaya_gramotnost/fingr/r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30" cy="125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25502AE0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электронная школа</w:t>
            </w: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 </w:t>
            </w:r>
            <w:hyperlink r:id="rId6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14:paraId="0F8994CA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На ресурсе представлены интерактивные уроки, которые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</w:t>
            </w:r>
          </w:p>
        </w:tc>
      </w:tr>
      <w:tr w:rsidR="002522BF" w:rsidRPr="002522BF" w14:paraId="5B2E816C" w14:textId="77777777" w:rsidTr="002522BF">
        <w:trPr>
          <w:tblCellSpacing w:w="7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0F2D4FB4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76C5B001" wp14:editId="18FE0EC7">
                  <wp:extent cx="1433195" cy="1344930"/>
                  <wp:effectExtent l="19050" t="0" r="0" b="0"/>
                  <wp:docPr id="111" name="Рисунок 111" descr="https://school67.edu.yar.ru/funktsionalnaya_gramotnost/fingr/fmtsf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school67.edu.yar.ru/funktsionalnaya_gramotnost/fingr/fmtsf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58577392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 «Федеральный методический центр по финансовой грамотности системы общего и среднего профессионального образования»</w:t>
            </w: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 </w:t>
            </w:r>
            <w:hyperlink r:id="rId8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https://fmc.hse.ru/methodology</w:t>
              </w:r>
            </w:hyperlink>
          </w:p>
          <w:p w14:paraId="2DF9974F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Учебно-методические комплексы и методические материалы по финансовой грамотности для общеобразовательных организаций.</w:t>
            </w:r>
          </w:p>
        </w:tc>
      </w:tr>
      <w:tr w:rsidR="002522BF" w:rsidRPr="002522BF" w14:paraId="72E72D9F" w14:textId="77777777" w:rsidTr="002522BF">
        <w:trPr>
          <w:tblCellSpacing w:w="7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2227F044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658997DF" wp14:editId="6A942CF6">
                  <wp:extent cx="1414096" cy="1426135"/>
                  <wp:effectExtent l="19050" t="0" r="0" b="0"/>
                  <wp:docPr id="112" name="Рисунок 112" descr="https://school67.edu.yar.ru/funktsionalnaya_gramotnost/fingr/yaklas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school67.edu.yar.ru/funktsionalnaya_gramotnost/fingr/yaklas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68" cy="142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713926FC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proofErr w:type="spellStart"/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9"/>
                <w:lang w:eastAsia="ru-RU"/>
              </w:rPr>
              <w:t>Якласс</w:t>
            </w:r>
            <w:proofErr w:type="spellEnd"/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9"/>
                <w:lang w:eastAsia="ru-RU"/>
              </w:rPr>
              <w:t> </w:t>
            </w:r>
            <w:hyperlink r:id="rId10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  <w:p w14:paraId="389979EC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На ресурсе представлены материалы по основам финансовой грамотности для 7 – 9 классов: в разработаны теоретический блок и система тестовых заданий,  проверочных работ, результаты выполнения которых фиксируются системой, после чего формируется статистика успеваемости ученика.</w:t>
            </w:r>
          </w:p>
        </w:tc>
      </w:tr>
      <w:tr w:rsidR="002522BF" w:rsidRPr="002522BF" w14:paraId="7ED9554E" w14:textId="77777777" w:rsidTr="002522BF">
        <w:trPr>
          <w:tblCellSpacing w:w="7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29CE1344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518DC93C" wp14:editId="476DE3E7">
                  <wp:extent cx="1609090" cy="606425"/>
                  <wp:effectExtent l="19050" t="0" r="0" b="0"/>
                  <wp:docPr id="113" name="Рисунок 113" descr="https://school67.edu.yar.ru/funktsionalnaya_gramotnost/fingr/rosuchub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school67.edu.yar.ru/funktsionalnaya_gramotnost/fingr/rosuchubn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61C5DDC2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Лаборатория функциональной грамотности</w:t>
            </w:r>
            <w:r w:rsidRPr="002522BF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 </w:t>
            </w:r>
            <w:hyperlink r:id="rId12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https://rosuchebnik.ru/material/laboratoriya-funktsionalnoy-gramotnosti/</w:t>
              </w:r>
            </w:hyperlink>
          </w:p>
        </w:tc>
      </w:tr>
      <w:tr w:rsidR="002522BF" w:rsidRPr="002522BF" w14:paraId="51CC2023" w14:textId="77777777" w:rsidTr="002522BF">
        <w:trPr>
          <w:tblCellSpacing w:w="7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72AA9EDF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lastRenderedPageBreak/>
              <w:drawing>
                <wp:inline distT="0" distB="0" distL="0" distR="0" wp14:anchorId="5DCCFE57" wp14:editId="1C463F40">
                  <wp:extent cx="1415415" cy="580390"/>
                  <wp:effectExtent l="19050" t="0" r="0" b="0"/>
                  <wp:docPr id="114" name="Рисунок 114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169DD5DD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 «Просвещение»</w:t>
            </w:r>
          </w:p>
          <w:p w14:paraId="402234B6" w14:textId="77777777" w:rsidR="002522BF" w:rsidRPr="002522BF" w:rsidRDefault="002522BF" w:rsidP="00252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Банк заданий - </w:t>
            </w:r>
            <w:hyperlink r:id="rId14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https://media.prosv.ru/content/?situations=true</w:t>
              </w:r>
            </w:hyperlink>
          </w:p>
          <w:p w14:paraId="7B4CF125" w14:textId="77777777" w:rsidR="002522BF" w:rsidRPr="002522BF" w:rsidRDefault="002522BF" w:rsidP="00252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Описание пособий по функциональной грамотности - </w:t>
            </w:r>
            <w:hyperlink r:id="rId15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https://prosv.ru/pages/pisa.html</w:t>
              </w:r>
            </w:hyperlink>
          </w:p>
        </w:tc>
      </w:tr>
    </w:tbl>
    <w:p w14:paraId="1EF9B6C2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>Ресурсы для формирования финансовой грамотности</w:t>
      </w:r>
    </w:p>
    <w:tbl>
      <w:tblPr>
        <w:tblW w:w="0" w:type="auto"/>
        <w:tblCellSpacing w:w="0" w:type="dxa"/>
        <w:shd w:val="clear" w:color="auto" w:fill="D4D9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38"/>
      </w:tblGrid>
      <w:tr w:rsidR="002522BF" w:rsidRPr="002522BF" w14:paraId="6D23CBA4" w14:textId="77777777" w:rsidTr="002522BF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6CE4F45C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4DF54674" wp14:editId="559C9F90">
                  <wp:extent cx="1556385" cy="1687830"/>
                  <wp:effectExtent l="19050" t="0" r="5715" b="0"/>
                  <wp:docPr id="115" name="Рисунок 115" descr="https://school67.edu.yar.ru/funktsionalnaya_gramotnost/fingr/minp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school67.edu.yar.ru/funktsionalnaya_gramotnost/fingr/minp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68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267F5CFE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Министерство просвещения Российской Федерации</w:t>
            </w:r>
          </w:p>
          <w:p w14:paraId="7F1F4194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Банк заданий для оценки уровня финансовой грамотности учащихся начальной и основной школы </w:t>
            </w:r>
            <w:hyperlink r:id="rId17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http://finance.instrao.ru/fin/files/Банк_заданий.pdf</w:t>
              </w:r>
            </w:hyperlink>
          </w:p>
        </w:tc>
      </w:tr>
      <w:tr w:rsidR="002522BF" w:rsidRPr="002522BF" w14:paraId="2C01A709" w14:textId="77777777" w:rsidTr="002522BF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11483C9B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74A245D4" wp14:editId="105DD326">
                  <wp:extent cx="3886200" cy="1002030"/>
                  <wp:effectExtent l="19050" t="0" r="0" b="0"/>
                  <wp:docPr id="116" name="Рисунок 116" descr="https://school67.edu.yar.ru/funktsionalnaya_gramotnost/fingr/is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school67.edu.yar.ru/funktsionalnaya_gramotnost/fingr/is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1B49BAB0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ФГБНУ «Института стратегии развития образования Российской академии образования»</w:t>
            </w:r>
          </w:p>
          <w:p w14:paraId="768BA423" w14:textId="77777777" w:rsidR="002522BF" w:rsidRPr="002522BF" w:rsidRDefault="002522BF" w:rsidP="002522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открытый банк заданий для формирования функциональной грамотности обучающихся 5-9 классов - </w:t>
            </w:r>
            <w:hyperlink r:id="rId19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http://skiv.instrao.ru/bank-zadaniy/finansovaya-gramotnost/</w:t>
              </w:r>
            </w:hyperlink>
          </w:p>
          <w:p w14:paraId="6624C760" w14:textId="77777777" w:rsidR="002522BF" w:rsidRPr="002522BF" w:rsidRDefault="002522BF" w:rsidP="002522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демонстрационные материалы - </w:t>
            </w:r>
            <w:hyperlink r:id="rId20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http://skiv.instrao.ru/support/demonstratsionnye-materialya/finansovaya-gramotnost.php</w:t>
              </w:r>
            </w:hyperlink>
          </w:p>
        </w:tc>
      </w:tr>
      <w:tr w:rsidR="002522BF" w:rsidRPr="002522BF" w14:paraId="782E6456" w14:textId="77777777" w:rsidTr="002522BF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5671D318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7A7A1977" wp14:editId="392FE111">
                  <wp:extent cx="1819910" cy="861695"/>
                  <wp:effectExtent l="19050" t="0" r="8890" b="0"/>
                  <wp:docPr id="117" name="Рисунок 117" descr="https://school67.edu.yar.ru/funktsionalnaya_gramotnost/fingr/resh_b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school67.edu.yar.ru/funktsionalnaya_gramotnost/fingr/resh_b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67BC1CDA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электронная школа</w:t>
            </w:r>
          </w:p>
          <w:p w14:paraId="36ABCEEE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Электронный банк заданий по формированию функциональной грамотности  </w:t>
            </w:r>
            <w:hyperlink r:id="rId22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https://fg.resh.edu.ru/functionalliteracy/events</w:t>
              </w:r>
            </w:hyperlink>
          </w:p>
        </w:tc>
      </w:tr>
      <w:tr w:rsidR="002522BF" w:rsidRPr="002522BF" w14:paraId="04D1BE03" w14:textId="77777777" w:rsidTr="002522BF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26CC3C51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7CDA264F" wp14:editId="57FC9C6F">
                  <wp:extent cx="1477010" cy="1010920"/>
                  <wp:effectExtent l="19050" t="0" r="8890" b="0"/>
                  <wp:docPr id="118" name="Рисунок 118" descr="https://school67.edu.yar.ru/funktsionalnaya_gramotnost/fingr/pi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school67.edu.yar.ru/funktsionalnaya_gramotnost/fingr/pi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0432B9AF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PISA</w:t>
            </w:r>
          </w:p>
          <w:p w14:paraId="290A2247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Финансовая грамотность (спецификация и образцы заданий) </w:t>
            </w:r>
            <w:hyperlink r:id="rId24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https://rikc.by/ru/PISA/5-ex__pisa.pdf</w:t>
              </w:r>
            </w:hyperlink>
          </w:p>
        </w:tc>
      </w:tr>
      <w:tr w:rsidR="002522BF" w:rsidRPr="002522BF" w14:paraId="17CAAFA2" w14:textId="77777777" w:rsidTr="002522BF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7D731FC0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drawing>
                <wp:inline distT="0" distB="0" distL="0" distR="0" wp14:anchorId="110A325B" wp14:editId="4F3A9357">
                  <wp:extent cx="1582420" cy="896620"/>
                  <wp:effectExtent l="19050" t="0" r="0" b="0"/>
                  <wp:docPr id="119" name="Рисунок 119" descr="https://school67.edu.yar.ru/funktsionalnaya_gramotnost/fingr/fink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school67.edu.yar.ru/funktsionalnaya_gramotnost/fingr/fink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4495FE76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Финансовая культура</w:t>
            </w:r>
          </w:p>
          <w:p w14:paraId="494FDC7E" w14:textId="77777777" w:rsidR="002522BF" w:rsidRPr="002522BF" w:rsidRDefault="002522BF" w:rsidP="002522BF">
            <w:pPr>
              <w:spacing w:before="138" w:after="138" w:line="240" w:lineRule="auto"/>
              <w:ind w:left="346" w:right="346"/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>Сборник математических задач «Основы финансовой грамотности» для обучающихся 1 – 11 классов </w:t>
            </w:r>
            <w:hyperlink r:id="rId26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https://fincult.info/prepodavanie/base/nachalnoe-osnovnoe-i-srednee-obshchee-obrazovanie/10744/</w:t>
              </w:r>
            </w:hyperlink>
          </w:p>
        </w:tc>
      </w:tr>
      <w:tr w:rsidR="002522BF" w:rsidRPr="002522BF" w14:paraId="0361AF5E" w14:textId="77777777" w:rsidTr="002522BF">
        <w:trPr>
          <w:tblCellSpacing w:w="0" w:type="dxa"/>
        </w:trPr>
        <w:tc>
          <w:tcPr>
            <w:tcW w:w="0" w:type="auto"/>
            <w:shd w:val="clear" w:color="auto" w:fill="D4D9BB"/>
            <w:vAlign w:val="center"/>
            <w:hideMark/>
          </w:tcPr>
          <w:p w14:paraId="55C095DE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4D9BB"/>
            <w:vAlign w:val="center"/>
            <w:hideMark/>
          </w:tcPr>
          <w:p w14:paraId="58425271" w14:textId="77777777" w:rsidR="002522BF" w:rsidRPr="002522BF" w:rsidRDefault="002522BF" w:rsidP="0025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</w:pPr>
            <w:r w:rsidRPr="0025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Электронный учебник по финансовой грамотности</w:t>
            </w:r>
            <w:r w:rsidRPr="002522BF">
              <w:rPr>
                <w:rFonts w:ascii="Times New Roman" w:eastAsia="Times New Roman" w:hAnsi="Times New Roman" w:cs="Times New Roman"/>
                <w:color w:val="000000"/>
                <w:sz w:val="20"/>
                <w:szCs w:val="17"/>
                <w:lang w:eastAsia="ru-RU"/>
              </w:rPr>
              <w:t> </w:t>
            </w:r>
            <w:hyperlink r:id="rId27" w:tgtFrame="_blank" w:history="1">
              <w:r w:rsidRPr="002522B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https://школа.вашифинансы.рф/courses.php</w:t>
              </w:r>
            </w:hyperlink>
          </w:p>
        </w:tc>
      </w:tr>
    </w:tbl>
    <w:p w14:paraId="5591555B" w14:textId="4F4E0939" w:rsid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lastRenderedPageBreak/>
        <w:t>Полезные ресурсы</w:t>
      </w:r>
    </w:p>
    <w:p w14:paraId="3CBBC5D4" w14:textId="77777777" w:rsidR="00FA4C1B" w:rsidRPr="00FA4C1B" w:rsidRDefault="00FA4C1B" w:rsidP="00FA4C1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FA4C1B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Получить обучение по финансовой грамотности можно на сайте: </w:t>
      </w:r>
      <w:hyperlink r:id="rId28" w:history="1">
        <w:r w:rsidRPr="00FA4C1B">
          <w:rPr>
            <w:rStyle w:val="a5"/>
            <w:rFonts w:ascii="Times New Roman" w:eastAsia="Times New Roman" w:hAnsi="Times New Roman" w:cs="Times New Roman"/>
            <w:szCs w:val="19"/>
            <w:lang w:eastAsia="ru-RU"/>
          </w:rPr>
          <w:t>http://xn--80aebklphfgdkbcuundy3gvd.xn--p1ai/</w:t>
        </w:r>
        <w:proofErr w:type="spellStart"/>
        <w:r w:rsidRPr="00FA4C1B">
          <w:rPr>
            <w:rStyle w:val="a5"/>
            <w:rFonts w:ascii="Times New Roman" w:eastAsia="Times New Roman" w:hAnsi="Times New Roman" w:cs="Times New Roman"/>
            <w:szCs w:val="19"/>
            <w:lang w:eastAsia="ru-RU"/>
          </w:rPr>
          <w:t>page</w:t>
        </w:r>
        <w:proofErr w:type="spellEnd"/>
        <w:r w:rsidRPr="00FA4C1B">
          <w:rPr>
            <w:rStyle w:val="a5"/>
            <w:rFonts w:ascii="Times New Roman" w:eastAsia="Times New Roman" w:hAnsi="Times New Roman" w:cs="Times New Roman"/>
            <w:szCs w:val="19"/>
            <w:lang w:eastAsia="ru-RU"/>
          </w:rPr>
          <w:t>/9#anch1</w:t>
        </w:r>
      </w:hyperlink>
      <w:r w:rsidRPr="00FA4C1B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 для всех классов, начиная со 2!</w:t>
      </w:r>
    </w:p>
    <w:p w14:paraId="0AA12046" w14:textId="77777777" w:rsidR="00FA4C1B" w:rsidRPr="00FA4C1B" w:rsidRDefault="00FA4C1B" w:rsidP="00FA4C1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FA4C1B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Более подробно можно изучить финансовую грамотность на сайте : </w:t>
      </w:r>
      <w:hyperlink r:id="rId29" w:history="1">
        <w:r w:rsidRPr="00FA4C1B">
          <w:rPr>
            <w:rStyle w:val="a5"/>
            <w:rFonts w:ascii="Times New Roman" w:eastAsia="Times New Roman" w:hAnsi="Times New Roman" w:cs="Times New Roman"/>
            <w:szCs w:val="19"/>
            <w:lang w:eastAsia="ru-RU"/>
          </w:rPr>
          <w:t>http://www.fingramota.by/</w:t>
        </w:r>
      </w:hyperlink>
      <w:r w:rsidRPr="00FA4C1B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 xml:space="preserve"> </w:t>
      </w:r>
    </w:p>
    <w:p w14:paraId="7FC4B648" w14:textId="77777777" w:rsidR="00FA4C1B" w:rsidRPr="002522BF" w:rsidRDefault="00FA4C1B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bookmarkStart w:id="0" w:name="_GoBack"/>
      <w:bookmarkEnd w:id="0"/>
    </w:p>
    <w:p w14:paraId="43846457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Банк России:</w:t>
      </w:r>
    </w:p>
    <w:p w14:paraId="490A471B" w14:textId="77777777" w:rsidR="002522BF" w:rsidRPr="002522BF" w:rsidRDefault="002522BF" w:rsidP="002522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2522B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Темы онлайн-уроков по финансовой грамотности </w:t>
      </w:r>
      <w:hyperlink r:id="rId30" w:tgtFrame="_blank" w:history="1">
        <w:r w:rsidRPr="002522B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https://dni-fg.ru/list</w:t>
        </w:r>
      </w:hyperlink>
    </w:p>
    <w:p w14:paraId="2A56A70F" w14:textId="77777777" w:rsidR="002522BF" w:rsidRPr="002522BF" w:rsidRDefault="002522BF" w:rsidP="002522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2522B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Грамотный инвестор (вебинары по инвестиционной грамотности для взрослых и студентов) </w:t>
      </w:r>
      <w:hyperlink r:id="rId31" w:tgtFrame="_blank" w:history="1">
        <w:r w:rsidRPr="002522B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https://dni-fg.ru/wiw</w:t>
        </w:r>
      </w:hyperlink>
    </w:p>
    <w:p w14:paraId="5953B287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Всероссийская программа «Дни финансовой грамотности в образовательных организациях»</w:t>
      </w:r>
      <w:r w:rsidRPr="002522BF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 </w:t>
      </w:r>
      <w:hyperlink r:id="rId32" w:tgtFrame="_blank" w:history="1">
        <w:r w:rsidRPr="002522B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https://dnifg.fincubator.ru/</w:t>
        </w:r>
      </w:hyperlink>
    </w:p>
    <w:p w14:paraId="7AF4DB34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Мои финансы:</w:t>
      </w:r>
    </w:p>
    <w:p w14:paraId="1E8A44E4" w14:textId="77777777" w:rsidR="002522BF" w:rsidRPr="002522BF" w:rsidRDefault="002522BF" w:rsidP="002522B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2522B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Персональный навигатор по финансам </w:t>
      </w:r>
      <w:hyperlink r:id="rId33" w:tgtFrame="_blank" w:history="1">
        <w:r w:rsidRPr="002522B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https://моифинансы.рф/</w:t>
        </w:r>
      </w:hyperlink>
    </w:p>
    <w:p w14:paraId="3981A0FE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Гид по финансовой грамотности</w:t>
      </w:r>
      <w:r w:rsidRPr="002522BF">
        <w:rPr>
          <w:rFonts w:ascii="Times New Roman" w:eastAsia="Times New Roman" w:hAnsi="Times New Roman" w:cs="Times New Roman"/>
          <w:color w:val="000000"/>
          <w:szCs w:val="19"/>
          <w:lang w:eastAsia="ru-RU"/>
        </w:rPr>
        <w:t> для жизни, бизнеса и образования  </w:t>
      </w:r>
      <w:hyperlink r:id="rId34" w:tgtFrame="_blank" w:history="1">
        <w:r w:rsidRPr="002522B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https://vashifinancy.ru/</w:t>
        </w:r>
      </w:hyperlink>
    </w:p>
    <w:p w14:paraId="3D09F2A9" w14:textId="77777777" w:rsidR="002522BF" w:rsidRPr="002522BF" w:rsidRDefault="002522BF" w:rsidP="002522BF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 w:rsidRPr="002522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Ассоциация Развития Финансовой Грамотности:</w:t>
      </w:r>
    </w:p>
    <w:p w14:paraId="41AF14B0" w14:textId="77777777" w:rsidR="002522BF" w:rsidRPr="002522BF" w:rsidRDefault="002522BF" w:rsidP="002522B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2522BF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Выполняет задачи по масштабированию успешных инициатив в сфере финансовой грамотности и занимается поддержкой, координацией и обучением волонтеров финансового просвещения </w:t>
      </w:r>
      <w:hyperlink r:id="rId35" w:tgtFrame="_blank" w:history="1">
        <w:r w:rsidRPr="002522B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https://fincubator.ru/</w:t>
        </w:r>
      </w:hyperlink>
    </w:p>
    <w:p w14:paraId="74B96EDD" w14:textId="77777777" w:rsidR="009F4D9C" w:rsidRPr="002522BF" w:rsidRDefault="009F4D9C" w:rsidP="000B26AB">
      <w:pPr>
        <w:rPr>
          <w:rFonts w:ascii="Times New Roman" w:hAnsi="Times New Roman" w:cs="Times New Roman"/>
          <w:sz w:val="28"/>
        </w:rPr>
      </w:pPr>
    </w:p>
    <w:sectPr w:rsidR="009F4D9C" w:rsidRPr="002522BF" w:rsidSect="009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64C"/>
    <w:multiLevelType w:val="multilevel"/>
    <w:tmpl w:val="23E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24A0F"/>
    <w:multiLevelType w:val="multilevel"/>
    <w:tmpl w:val="DD0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437BD"/>
    <w:multiLevelType w:val="multilevel"/>
    <w:tmpl w:val="156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771CC"/>
    <w:multiLevelType w:val="multilevel"/>
    <w:tmpl w:val="BAC4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5608"/>
    <w:multiLevelType w:val="multilevel"/>
    <w:tmpl w:val="4C6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808E3"/>
    <w:multiLevelType w:val="multilevel"/>
    <w:tmpl w:val="5914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5528D"/>
    <w:multiLevelType w:val="multilevel"/>
    <w:tmpl w:val="5AB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75B3B"/>
    <w:multiLevelType w:val="multilevel"/>
    <w:tmpl w:val="510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D3D6D"/>
    <w:multiLevelType w:val="multilevel"/>
    <w:tmpl w:val="721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82360"/>
    <w:multiLevelType w:val="multilevel"/>
    <w:tmpl w:val="C3A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C517A"/>
    <w:multiLevelType w:val="multilevel"/>
    <w:tmpl w:val="DC9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641B1"/>
    <w:multiLevelType w:val="multilevel"/>
    <w:tmpl w:val="CE8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B0104"/>
    <w:multiLevelType w:val="multilevel"/>
    <w:tmpl w:val="5AA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32402"/>
    <w:multiLevelType w:val="multilevel"/>
    <w:tmpl w:val="321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54E7D"/>
    <w:multiLevelType w:val="multilevel"/>
    <w:tmpl w:val="B32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B611A0"/>
    <w:multiLevelType w:val="multilevel"/>
    <w:tmpl w:val="C33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530DE"/>
    <w:multiLevelType w:val="multilevel"/>
    <w:tmpl w:val="D8E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451EE"/>
    <w:multiLevelType w:val="multilevel"/>
    <w:tmpl w:val="9A6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671BC7"/>
    <w:multiLevelType w:val="multilevel"/>
    <w:tmpl w:val="A3D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539D0"/>
    <w:multiLevelType w:val="multilevel"/>
    <w:tmpl w:val="468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29FB"/>
    <w:multiLevelType w:val="multilevel"/>
    <w:tmpl w:val="606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A3170"/>
    <w:multiLevelType w:val="multilevel"/>
    <w:tmpl w:val="89B0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1091E"/>
    <w:multiLevelType w:val="multilevel"/>
    <w:tmpl w:val="C76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B433C"/>
    <w:multiLevelType w:val="multilevel"/>
    <w:tmpl w:val="46D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77709"/>
    <w:multiLevelType w:val="multilevel"/>
    <w:tmpl w:val="E94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63B69"/>
    <w:multiLevelType w:val="multilevel"/>
    <w:tmpl w:val="FA1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F32E7"/>
    <w:multiLevelType w:val="multilevel"/>
    <w:tmpl w:val="010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FE2441"/>
    <w:multiLevelType w:val="multilevel"/>
    <w:tmpl w:val="201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524FE7"/>
    <w:multiLevelType w:val="multilevel"/>
    <w:tmpl w:val="387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2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4"/>
  </w:num>
  <w:num w:numId="10">
    <w:abstractNumId w:val="5"/>
  </w:num>
  <w:num w:numId="11">
    <w:abstractNumId w:val="27"/>
  </w:num>
  <w:num w:numId="12">
    <w:abstractNumId w:val="11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23"/>
  </w:num>
  <w:num w:numId="18">
    <w:abstractNumId w:val="14"/>
  </w:num>
  <w:num w:numId="19">
    <w:abstractNumId w:val="17"/>
  </w:num>
  <w:num w:numId="20">
    <w:abstractNumId w:val="20"/>
  </w:num>
  <w:num w:numId="21">
    <w:abstractNumId w:val="1"/>
  </w:num>
  <w:num w:numId="22">
    <w:abstractNumId w:val="16"/>
  </w:num>
  <w:num w:numId="23">
    <w:abstractNumId w:val="28"/>
  </w:num>
  <w:num w:numId="24">
    <w:abstractNumId w:val="3"/>
  </w:num>
  <w:num w:numId="25">
    <w:abstractNumId w:val="26"/>
  </w:num>
  <w:num w:numId="26">
    <w:abstractNumId w:val="21"/>
  </w:num>
  <w:num w:numId="27">
    <w:abstractNumId w:val="15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6C7"/>
    <w:rsid w:val="000847BF"/>
    <w:rsid w:val="000A2CFB"/>
    <w:rsid w:val="000B26AB"/>
    <w:rsid w:val="00125227"/>
    <w:rsid w:val="00131258"/>
    <w:rsid w:val="001B63B3"/>
    <w:rsid w:val="001D6FC5"/>
    <w:rsid w:val="00203366"/>
    <w:rsid w:val="00236D73"/>
    <w:rsid w:val="002522BF"/>
    <w:rsid w:val="0042074C"/>
    <w:rsid w:val="00555478"/>
    <w:rsid w:val="005F66C7"/>
    <w:rsid w:val="005F7F29"/>
    <w:rsid w:val="007B07DB"/>
    <w:rsid w:val="009472EB"/>
    <w:rsid w:val="009F4D9C"/>
    <w:rsid w:val="00B90122"/>
    <w:rsid w:val="00BE3F5F"/>
    <w:rsid w:val="00ED3A4C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6FFF"/>
  <w15:docId w15:val="{65476874-0165-4EA1-A3B9-EE63F3E3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C7"/>
    <w:rPr>
      <w:b/>
      <w:bCs/>
    </w:rPr>
  </w:style>
  <w:style w:type="character" w:styleId="a5">
    <w:name w:val="Hyperlink"/>
    <w:basedOn w:val="a0"/>
    <w:uiPriority w:val="99"/>
    <w:unhideWhenUsed/>
    <w:rsid w:val="005F66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C7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0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FA4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methodology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s://fincult.info/prepodavanie/base/nachalnoe-osnovnoe-i-srednee-obshchee-obrazovanie/10744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vashifinancy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osuchebnik.ru/material/laboratoriya-funktsionalnoy-gramotnosti/" TargetMode="External"/><Relationship Id="rId17" Type="http://schemas.openxmlformats.org/officeDocument/2006/relationships/hyperlink" Target="http://finance.instrao.ru/fin/files/%D0%91%D0%B0%D0%BD%D0%BA_%D0%B7%D0%B0%D0%B4%D0%B0%D0%BD%D0%B8%D0%B9.pdf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xn--80apaohbc3aw9e.xn--p1ai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skiv.instrao.ru/support/demonstratsionnye-materialya/finansovaya-gramotnost.php" TargetMode="External"/><Relationship Id="rId29" Type="http://schemas.openxmlformats.org/officeDocument/2006/relationships/hyperlink" Target="http://www.fingramota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rikc.by/ru/PISA/5-ex__pisa.pdf" TargetMode="External"/><Relationship Id="rId32" Type="http://schemas.openxmlformats.org/officeDocument/2006/relationships/hyperlink" Target="https://dnifg.fincubator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prosv.ru/pages/pisa.html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xn--80aebklphfgdkbcuundy3gvd.xn--p1ai/page/9#anch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skiv.instrao.ru/bank-zadaniy/finansovaya-gramotnost/" TargetMode="External"/><Relationship Id="rId31" Type="http://schemas.openxmlformats.org/officeDocument/2006/relationships/hyperlink" Target="https://dni-fg.ru/wi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edia.prosv.ru/content/?situations=true" TargetMode="External"/><Relationship Id="rId22" Type="http://schemas.openxmlformats.org/officeDocument/2006/relationships/hyperlink" Target="https://fg.resh.edu.ru/functionalliteracy/events" TargetMode="External"/><Relationship Id="rId27" Type="http://schemas.openxmlformats.org/officeDocument/2006/relationships/hyperlink" Target="https://xn--80atdl2c.xn--80aaeza4ab6aw2b2b.xn--p1ai/courses.php" TargetMode="External"/><Relationship Id="rId30" Type="http://schemas.openxmlformats.org/officeDocument/2006/relationships/hyperlink" Target="https://dni-fg.ru/list" TargetMode="External"/><Relationship Id="rId35" Type="http://schemas.openxmlformats.org/officeDocument/2006/relationships/hyperlink" Target="https://fincuba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3</cp:revision>
  <dcterms:created xsi:type="dcterms:W3CDTF">2023-02-20T23:43:00Z</dcterms:created>
  <dcterms:modified xsi:type="dcterms:W3CDTF">2023-02-20T23:58:00Z</dcterms:modified>
</cp:coreProperties>
</file>